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152B" w:rsidRDefault="003B152B" w:rsidP="003B152B">
      <w:pPr>
        <w:spacing w:line="400" w:lineRule="exact"/>
        <w:jc w:val="center"/>
        <w:rPr>
          <w:rFonts w:ascii="華康正顏楷體W5(P)" w:eastAsia="華康正顏楷體W5(P)"/>
          <w:sz w:val="32"/>
          <w:szCs w:val="32"/>
        </w:rPr>
      </w:pPr>
      <w:r w:rsidRPr="00D9149A">
        <w:rPr>
          <w:rFonts w:ascii="華康正顏楷體W5(P)" w:eastAsia="華康正顏楷體W5(P)" w:cs="華康正顏楷體W5(P)" w:hint="eastAsia"/>
          <w:sz w:val="32"/>
          <w:szCs w:val="32"/>
        </w:rPr>
        <w:t>第一</w:t>
      </w:r>
      <w:r>
        <w:rPr>
          <w:rFonts w:ascii="華康正顏楷體W5(P)" w:eastAsia="華康正顏楷體W5(P)" w:cs="華康正顏楷體W5(P)" w:hint="eastAsia"/>
          <w:sz w:val="32"/>
          <w:szCs w:val="32"/>
        </w:rPr>
        <w:t xml:space="preserve">課　</w:t>
      </w:r>
      <w:r w:rsidRPr="00D9149A">
        <w:rPr>
          <w:rFonts w:ascii="華康正顏楷體W5(P)" w:eastAsia="華康正顏楷體W5(P)" w:cs="華康正顏楷體W5(P)" w:hint="eastAsia"/>
          <w:sz w:val="32"/>
          <w:szCs w:val="32"/>
        </w:rPr>
        <w:t>教義簡介與</w:t>
      </w:r>
      <w:r>
        <w:rPr>
          <w:rFonts w:ascii="華康正顏楷體W5(P)" w:eastAsia="華康正顏楷體W5(P)" w:cs="華康正顏楷體W5(P)" w:hint="eastAsia"/>
          <w:sz w:val="32"/>
          <w:szCs w:val="32"/>
        </w:rPr>
        <w:t>浸禮</w:t>
      </w:r>
      <w:r w:rsidRPr="00D9149A">
        <w:rPr>
          <w:rFonts w:ascii="華康正顏楷體W5(P)" w:eastAsia="華康正顏楷體W5(P)" w:cs="華康正顏楷體W5(P)" w:hint="eastAsia"/>
          <w:sz w:val="32"/>
          <w:szCs w:val="32"/>
        </w:rPr>
        <w:t>的由來</w:t>
      </w:r>
    </w:p>
    <w:p w:rsidR="003B152B" w:rsidRPr="00003680" w:rsidRDefault="003B152B" w:rsidP="003B152B">
      <w:pPr>
        <w:spacing w:line="400" w:lineRule="exact"/>
        <w:jc w:val="center"/>
        <w:rPr>
          <w:rFonts w:ascii="華康正顏楷體W5(P)" w:eastAsia="華康正顏楷體W5(P)"/>
          <w:sz w:val="32"/>
          <w:szCs w:val="32"/>
        </w:rPr>
      </w:pPr>
    </w:p>
    <w:p w:rsidR="003B152B" w:rsidRPr="00346F11" w:rsidRDefault="003B152B" w:rsidP="003B152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346F11">
        <w:rPr>
          <w:rFonts w:ascii="華康POP1體W7" w:eastAsia="華康POP1體W7" w:hAnsi="標楷體" w:cs="華康POP1體W7" w:hint="eastAsia"/>
          <w:sz w:val="24"/>
          <w:szCs w:val="24"/>
        </w:rPr>
        <w:t>教學目標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一、明白學習教義的目的，並可說出本會的基本信仰。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二、認識浸禮的由來，建立對浸禮的正確信仰。</w:t>
      </w:r>
    </w:p>
    <w:p w:rsidR="003B152B" w:rsidRPr="00346F11" w:rsidRDefault="003B152B" w:rsidP="003B152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346F11">
        <w:rPr>
          <w:rFonts w:ascii="華康POP1體W7" w:eastAsia="華康POP1體W7" w:hAnsi="標楷體" w:cs="華康POP1體W7" w:hint="eastAsia"/>
          <w:sz w:val="24"/>
          <w:szCs w:val="24"/>
        </w:rPr>
        <w:t>內容分析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一、學習教義的目的有三：</w:t>
      </w:r>
      <w:r w:rsidRPr="00346F11">
        <w:rPr>
          <w:rFonts w:ascii="華康儷楷書" w:eastAsia="華康儷楷書" w:hAnsi="標楷體" w:cs="華康儷楷書"/>
          <w:sz w:val="24"/>
          <w:szCs w:val="24"/>
        </w:rPr>
        <w:t>(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一</w:t>
      </w:r>
      <w:r w:rsidRPr="00346F11">
        <w:rPr>
          <w:rFonts w:ascii="華康儷楷書" w:eastAsia="華康儷楷書" w:hAnsi="標楷體" w:cs="華康儷楷書"/>
          <w:sz w:val="24"/>
          <w:szCs w:val="24"/>
        </w:rPr>
        <w:t>)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明白救恩。</w:t>
      </w:r>
      <w:r w:rsidRPr="00346F11">
        <w:rPr>
          <w:rFonts w:ascii="華康儷楷書" w:eastAsia="華康儷楷書" w:hAnsi="標楷體" w:cs="華康儷楷書"/>
          <w:sz w:val="24"/>
          <w:szCs w:val="24"/>
        </w:rPr>
        <w:t>(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二</w:t>
      </w:r>
      <w:r w:rsidRPr="00346F11">
        <w:rPr>
          <w:rFonts w:ascii="華康儷楷書" w:eastAsia="華康儷楷書" w:hAnsi="標楷體" w:cs="華康儷楷書"/>
          <w:sz w:val="24"/>
          <w:szCs w:val="24"/>
        </w:rPr>
        <w:t>)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堅固信仰。</w:t>
      </w:r>
      <w:r w:rsidRPr="00346F11">
        <w:rPr>
          <w:rFonts w:ascii="華康儷楷書" w:eastAsia="華康儷楷書" w:hAnsi="標楷體" w:cs="華康儷楷書"/>
          <w:sz w:val="24"/>
          <w:szCs w:val="24"/>
        </w:rPr>
        <w:t>(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三</w:t>
      </w:r>
      <w:r w:rsidRPr="00346F11">
        <w:rPr>
          <w:rFonts w:ascii="華康儷楷書" w:eastAsia="華康儷楷書" w:hAnsi="標楷體" w:cs="華康儷楷書"/>
          <w:sz w:val="24"/>
          <w:szCs w:val="24"/>
        </w:rPr>
        <w:t>)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引人歸主。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二、本會的基本信仰十條，為本會信徒當守之共信之道。內容包括對真神耶穌、聖經、真教會、浸禮、聖靈、洗腳禮、聖餐、安息日、行道、再臨等之信仰。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三、浸禮的由來，包含有關浸禮的預言、預表、及主耶穌設立浸禮的經過。</w:t>
      </w:r>
    </w:p>
    <w:p w:rsidR="003B152B" w:rsidRPr="00346F11" w:rsidRDefault="003B152B" w:rsidP="003B152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346F11">
        <w:rPr>
          <w:rFonts w:ascii="華康POP1體W7" w:eastAsia="華康POP1體W7" w:hAnsi="標楷體" w:cs="華康POP1體W7" w:hint="eastAsia"/>
          <w:sz w:val="24"/>
          <w:szCs w:val="24"/>
        </w:rPr>
        <w:t>教學要領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一、請發給每位學員各一本「真耶穌教會基本信仰」</w:t>
      </w:r>
      <w:r w:rsidRPr="00346F11">
        <w:rPr>
          <w:rFonts w:ascii="華康儷楷書" w:eastAsia="華康儷楷書" w:hAnsi="標楷體" w:cs="華康儷楷書"/>
          <w:sz w:val="24"/>
          <w:szCs w:val="24"/>
        </w:rPr>
        <w:t>(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佈道會用得救福音小冊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16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號，可向教會負責人索取，或向總會腓利門書房洽購</w:t>
      </w:r>
      <w:r w:rsidRPr="00346F11">
        <w:rPr>
          <w:rFonts w:ascii="華康儷楷書" w:eastAsia="華康儷楷書" w:hAnsi="標楷體" w:cs="華康儷楷書"/>
          <w:sz w:val="24"/>
          <w:szCs w:val="24"/>
        </w:rPr>
        <w:t>)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。指導學員詳細閱讀，十條綱要可以每週背誦一條，季末給予考核並獎勵。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二、本季雖只介紹五大教義，但亦應讓學員對基本信仰之整體性有所暸解。本課另一個重點介紹浸禮的由來，先介紹本會之三大聖禮及具備聖禮的要件</w:t>
      </w:r>
      <w:r w:rsidRPr="00346F11">
        <w:rPr>
          <w:rFonts w:ascii="華康儷楷書" w:eastAsia="華康儷楷書" w:hAnsi="標楷體" w:cs="華康儷楷書"/>
          <w:sz w:val="24"/>
          <w:szCs w:val="24"/>
        </w:rPr>
        <w:t>(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如參考資料</w:t>
      </w:r>
      <w:r w:rsidRPr="00346F11">
        <w:rPr>
          <w:rFonts w:ascii="華康儷楷書" w:eastAsia="華康儷楷書" w:hAnsi="標楷體" w:cs="華康儷楷書"/>
          <w:sz w:val="24"/>
          <w:szCs w:val="24"/>
        </w:rPr>
        <w:t>)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，再依課文扼要闡述。</w:t>
      </w:r>
    </w:p>
    <w:p w:rsidR="003B152B" w:rsidRPr="00346F11" w:rsidRDefault="003B152B" w:rsidP="003B152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346F11">
        <w:rPr>
          <w:rFonts w:ascii="華康POP1體W7" w:eastAsia="華康POP1體W7" w:hAnsi="標楷體" w:cs="華康POP1體W7" w:hint="eastAsia"/>
          <w:sz w:val="24"/>
          <w:szCs w:val="24"/>
        </w:rPr>
        <w:t>作業指導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 w:cs="華康儷楷書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一、簡述學習教義的目的</w:t>
      </w:r>
      <w:r w:rsidRPr="00346F11">
        <w:rPr>
          <w:rFonts w:ascii="華康儷楷書" w:eastAsia="華康儷楷書" w:hAnsi="標楷體" w:cs="華康儷楷書"/>
          <w:sz w:val="24"/>
          <w:szCs w:val="24"/>
        </w:rPr>
        <w:t>?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答：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明白救恩</w:t>
      </w:r>
      <w:r w:rsidRPr="00346F11">
        <w:rPr>
          <w:rFonts w:ascii="華康儷楷書" w:eastAsia="華康儷楷書" w:hAnsi="標楷體" w:cs="華康儷楷書"/>
          <w:sz w:val="24"/>
          <w:szCs w:val="24"/>
        </w:rPr>
        <w:t>2.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堅固信仰</w:t>
      </w:r>
      <w:r w:rsidRPr="00346F11">
        <w:rPr>
          <w:rFonts w:ascii="華康儷楷書" w:eastAsia="華康儷楷書" w:hAnsi="標楷體" w:cs="華康儷楷書"/>
          <w:sz w:val="24"/>
          <w:szCs w:val="24"/>
        </w:rPr>
        <w:t>3.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引人歸真。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 w:cs="華康儷楷書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二、寫出舊約聖經中有關洗禮的預言二節</w:t>
      </w:r>
      <w:r w:rsidRPr="00346F11">
        <w:rPr>
          <w:rFonts w:ascii="華康儷楷書" w:eastAsia="華康儷楷書" w:hAnsi="標楷體" w:cs="華康儷楷書"/>
          <w:sz w:val="24"/>
          <w:szCs w:val="24"/>
        </w:rPr>
        <w:t>?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答：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主在水中、海中開道路</w:t>
      </w:r>
      <w:r w:rsidRPr="00346F11">
        <w:rPr>
          <w:rFonts w:ascii="華康儷楷書" w:eastAsia="華康儷楷書" w:hAnsi="標楷體" w:cs="華康儷楷書"/>
          <w:sz w:val="24"/>
          <w:szCs w:val="24"/>
        </w:rPr>
        <w:t>(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詩七十七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19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；賽四十三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16)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/>
          <w:sz w:val="24"/>
          <w:szCs w:val="24"/>
        </w:rPr>
        <w:t>2.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藉著泉源、海水除罪</w:t>
      </w:r>
      <w:r w:rsidRPr="00346F11">
        <w:rPr>
          <w:rFonts w:ascii="華康儷楷書" w:eastAsia="華康儷楷書" w:hAnsi="標楷體" w:cs="華康儷楷書"/>
          <w:sz w:val="24"/>
          <w:szCs w:val="24"/>
        </w:rPr>
        <w:t>(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彌七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19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；亞十三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1)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※本題可先提示，若學生程度欠佳，可以免作。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 w:cs="華康儷楷書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三</w:t>
      </w:r>
      <w:r w:rsidRPr="00346F11">
        <w:rPr>
          <w:rFonts w:ascii="華康儷楷書" w:eastAsia="華康儷楷書" w:cs="華康儷楷書" w:hint="eastAsia"/>
          <w:sz w:val="24"/>
          <w:szCs w:val="24"/>
        </w:rPr>
        <w:t>、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簡述舊約中有關洗禮的預表</w:t>
      </w:r>
      <w:r w:rsidRPr="00346F11">
        <w:rPr>
          <w:rFonts w:ascii="華康儷楷書" w:eastAsia="華康儷楷書" w:hAnsi="標楷體" w:cs="華康儷楷書"/>
          <w:sz w:val="24"/>
          <w:szCs w:val="24"/>
        </w:rPr>
        <w:t>?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答：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挪亞時代的洪水。</w:t>
      </w:r>
      <w:r w:rsidRPr="00346F11">
        <w:rPr>
          <w:rFonts w:ascii="華康儷楷書" w:eastAsia="華康儷楷書" w:hAnsi="標楷體" w:cs="華康儷楷書"/>
          <w:sz w:val="24"/>
          <w:szCs w:val="24"/>
        </w:rPr>
        <w:t>2.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割禮。</w:t>
      </w:r>
      <w:r w:rsidRPr="00346F11">
        <w:rPr>
          <w:rFonts w:ascii="華康儷楷書" w:eastAsia="華康儷楷書" w:hAnsi="標楷體" w:cs="華康儷楷書"/>
          <w:sz w:val="24"/>
          <w:szCs w:val="24"/>
        </w:rPr>
        <w:t>3.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以色列民過紅海。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儷楷書" w:eastAsia="華康儷楷書" w:hAnsi="標楷體" w:cs="華康儷楷書"/>
          <w:sz w:val="24"/>
          <w:szCs w:val="24"/>
        </w:rPr>
      </w:pPr>
      <w:r w:rsidRPr="00346F11">
        <w:rPr>
          <w:rFonts w:ascii="華康儷楷書" w:eastAsia="華康儷楷書" w:cs="華康儷楷書" w:hint="eastAsia"/>
          <w:sz w:val="24"/>
          <w:szCs w:val="24"/>
        </w:rPr>
        <w:t>四、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略述主耶穌設立浸禮的經過</w:t>
      </w:r>
      <w:r w:rsidRPr="00346F11">
        <w:rPr>
          <w:rFonts w:ascii="華康儷楷書" w:eastAsia="華康儷楷書" w:hAnsi="標楷體" w:cs="華康儷楷書"/>
          <w:sz w:val="24"/>
          <w:szCs w:val="24"/>
        </w:rPr>
        <w:t>?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804" w:hangingChars="300" w:hanging="72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答：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主耶穌親自接受施洗約翰的浸禮，受洗後從水</w:t>
      </w:r>
      <w:r w:rsidRPr="00346F11">
        <w:rPr>
          <w:rFonts w:ascii="華康楷書體W5" w:eastAsia="華康楷書體W5" w:hAnsi="標楷體" w:cs="華康楷書體W5" w:hint="eastAsia"/>
          <w:sz w:val="24"/>
          <w:szCs w:val="24"/>
        </w:rPr>
        <w:t>裏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上來，聖靈降在身上，天上有聲音說：「你是我的愛子，我喜悅你。」</w:t>
      </w:r>
      <w:r w:rsidRPr="00346F11">
        <w:rPr>
          <w:rFonts w:ascii="華康儷楷書" w:eastAsia="華康儷楷書" w:hAnsi="標楷體" w:cs="華康儷楷書"/>
          <w:sz w:val="24"/>
          <w:szCs w:val="24"/>
        </w:rPr>
        <w:t>(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太三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13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～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17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；可一</w:t>
      </w:r>
      <w:r w:rsidRPr="00346F11">
        <w:rPr>
          <w:rFonts w:ascii="華康儷楷書" w:eastAsia="華康儷楷書" w:hAnsi="標楷體" w:cs="華康儷楷書"/>
          <w:sz w:val="24"/>
          <w:szCs w:val="24"/>
        </w:rPr>
        <w:t>9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～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11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；路三</w:t>
      </w:r>
      <w:r w:rsidRPr="00346F11">
        <w:rPr>
          <w:rFonts w:ascii="華康儷楷書" w:eastAsia="華康儷楷書" w:hAnsi="標楷體" w:cs="華康儷楷書"/>
          <w:sz w:val="24"/>
          <w:szCs w:val="24"/>
        </w:rPr>
        <w:t>21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～</w:t>
      </w:r>
      <w:r w:rsidRPr="00346F11">
        <w:rPr>
          <w:rFonts w:ascii="華康儷楷書" w:eastAsia="華康儷楷書" w:hAnsi="標楷體" w:cs="華康儷楷書"/>
          <w:sz w:val="24"/>
          <w:szCs w:val="24"/>
        </w:rPr>
        <w:t>22)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。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儷楷書" w:eastAsia="華康儷楷書" w:hAnsi="標楷體"/>
          <w:sz w:val="24"/>
          <w:szCs w:val="24"/>
        </w:rPr>
      </w:pPr>
      <w:r w:rsidRPr="00346F11">
        <w:rPr>
          <w:rFonts w:ascii="華康儷楷書" w:eastAsia="華康儷楷書" w:hAnsi="標楷體" w:cs="華康儷楷書"/>
          <w:sz w:val="24"/>
          <w:szCs w:val="24"/>
        </w:rPr>
        <w:t>2.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主耶穌吩咐門徒，到處傳福音，為相信的人施洗，使他們作主的門徒而得救</w:t>
      </w:r>
      <w:r w:rsidRPr="00346F11">
        <w:rPr>
          <w:rFonts w:ascii="華康儷楷書" w:eastAsia="華康儷楷書" w:hAnsi="標楷體" w:cs="華康儷楷書"/>
          <w:sz w:val="24"/>
          <w:szCs w:val="24"/>
        </w:rPr>
        <w:t>(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太廿八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19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；可十六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15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～</w:t>
      </w:r>
      <w:r w:rsidRPr="00346F11">
        <w:rPr>
          <w:rFonts w:ascii="華康儷楷書" w:eastAsia="華康儷楷書" w:hAnsi="標楷體" w:cs="華康儷楷書"/>
          <w:sz w:val="24"/>
          <w:szCs w:val="24"/>
        </w:rPr>
        <w:t>16)</w:t>
      </w:r>
      <w:r w:rsidRPr="00346F11">
        <w:rPr>
          <w:rFonts w:ascii="華康儷楷書" w:eastAsia="華康儷楷書" w:hAnsi="標楷體" w:cs="華康儷楷書" w:hint="eastAsia"/>
          <w:sz w:val="24"/>
          <w:szCs w:val="24"/>
        </w:rPr>
        <w:t>。</w:t>
      </w:r>
    </w:p>
    <w:p w:rsidR="003B152B" w:rsidRPr="00346F11" w:rsidRDefault="003B152B" w:rsidP="003B152B">
      <w:pPr>
        <w:spacing w:beforeLines="50" w:before="180" w:line="400" w:lineRule="exact"/>
        <w:rPr>
          <w:rFonts w:ascii="華康POP1體W7" w:eastAsia="華康POP1體W7" w:hAnsi="標楷體"/>
          <w:sz w:val="24"/>
          <w:szCs w:val="24"/>
        </w:rPr>
      </w:pPr>
      <w:r w:rsidRPr="00346F11">
        <w:rPr>
          <w:rFonts w:ascii="華康POP1體W7" w:eastAsia="華康POP1體W7" w:hAnsi="標楷體" w:cs="華康POP1體W7" w:hint="eastAsia"/>
          <w:sz w:val="24"/>
          <w:szCs w:val="24"/>
        </w:rPr>
        <w:lastRenderedPageBreak/>
        <w:t>參考資料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鐵線龍門W3" w:eastAsia="華康鐵線龍門W3" w:hAnsi="標楷體"/>
          <w:sz w:val="24"/>
          <w:szCs w:val="24"/>
        </w:rPr>
      </w:pP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一、聖禮：具備聖禮的條件有三：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1.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主親自示範設立。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2.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吩咐門徒遵行。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3.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與得救與否有關。本會的聖禮有三：浸禮、洗腳禮、聖餐禮；一般新教無洗腳體只有洗禮、聖餐禮，浸信會之聖禮有五種，也有洗腳禮，另加上抹油、接吻二項。羅馬教則有七種，洗禮、堅振、告解、聖禮、傅油、聖秩、婚姻，但皆缺乏聖經依據。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參考宗教學陳百希著，光啟出版社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)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鐵線龍門W3" w:eastAsia="華康鐵線龍門W3" w:hAnsi="標楷體" w:cs="華康鐵線龍門W3"/>
          <w:sz w:val="24"/>
          <w:szCs w:val="24"/>
        </w:rPr>
      </w:pP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二、潔淨禮：舊約以色列人若染了什麼污穢，必要洗衣服、又用水洗澡，才得潔淨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利十五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5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～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13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、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16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，十六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26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～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28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，十七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15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～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16)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，這是浸禮的影兒。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聖經要道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123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頁。楊約翰著，真耶穌教會台灣書報社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)</w:t>
      </w:r>
    </w:p>
    <w:p w:rsidR="003B152B" w:rsidRPr="00346F11" w:rsidRDefault="003B152B" w:rsidP="003B152B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鐵線龍門W3" w:eastAsia="華康鐵線龍門W3" w:hAnsi="標楷體"/>
          <w:sz w:val="24"/>
          <w:szCs w:val="24"/>
        </w:rPr>
      </w:pP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三、洗禮：教會對於信主耶穌的人，都要「用水給他們施洗」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徒十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47)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，這洗禮是用水來表明的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彼前三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21)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，是神藉以使人歸主蒙恩得救的重要方法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羅六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3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～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4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；加三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27)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。施洗是主耶穌的命令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太廿八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19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；可十六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16)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。主耶穌將「施洗」之權交託使徒，也叫信祂的人必須「受洗」。</w:t>
      </w:r>
    </w:p>
    <w:p w:rsidR="007C4049" w:rsidRDefault="003B152B" w:rsidP="003B152B"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四、約翰的洗：在新舊約交替的時代，真神差遣施洗約翰為救主開路，叫人悔改受洗，預備接受要來的救主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(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太三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～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12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；路三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7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～</w:t>
      </w:r>
      <w:r w:rsidRPr="00346F11">
        <w:rPr>
          <w:rFonts w:ascii="華康鐵線龍門W3" w:eastAsia="華康鐵線龍門W3" w:hAnsi="標楷體" w:cs="華康鐵線龍門W3"/>
          <w:sz w:val="24"/>
          <w:szCs w:val="24"/>
        </w:rPr>
        <w:t>17)</w:t>
      </w:r>
      <w:r w:rsidRPr="00346F11">
        <w:rPr>
          <w:rFonts w:ascii="華康鐵線龍門W3" w:eastAsia="華康鐵線龍門W3" w:hAnsi="標楷體" w:cs="華康鐵線龍門W3" w:hint="eastAsia"/>
          <w:sz w:val="24"/>
          <w:szCs w:val="24"/>
        </w:rPr>
        <w:t>，約翰的洗是「悔改的洗」，因此當主來以後，那曾受約翰洗禮的人，仍要接受「奉主名的洗」。新約時代教會的洗禮，並非為保持舊約的傳統，或受約翰浸禮的影響；乃是由於救主耶穌清楚的交代而來，這是非常重要的。</w:t>
      </w: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58A0" w:rsidRDefault="00F258A0" w:rsidP="00F258A0">
      <w:r>
        <w:separator/>
      </w:r>
    </w:p>
  </w:endnote>
  <w:endnote w:type="continuationSeparator" w:id="0">
    <w:p w:rsidR="00F258A0" w:rsidRDefault="00F258A0" w:rsidP="00F2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POP1體W7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鐵線龍門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58A0" w:rsidRDefault="00F258A0" w:rsidP="00F258A0">
      <w:r>
        <w:separator/>
      </w:r>
    </w:p>
  </w:footnote>
  <w:footnote w:type="continuationSeparator" w:id="0">
    <w:p w:rsidR="00F258A0" w:rsidRDefault="00F258A0" w:rsidP="00F2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52B"/>
    <w:rsid w:val="003B152B"/>
    <w:rsid w:val="007C4049"/>
    <w:rsid w:val="00EF08BF"/>
    <w:rsid w:val="00F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A707BE-15EC-4764-856D-718B4D98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15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258A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F258A0"/>
  </w:style>
  <w:style w:type="paragraph" w:styleId="a5">
    <w:name w:val="footer"/>
    <w:basedOn w:val="a"/>
    <w:link w:val="a6"/>
    <w:rsid w:val="00F258A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F25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>財團法人真耶穌教會台灣總會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第一課　教義簡介與浸禮的由來</dc:title>
  <dc:subject/>
  <dc:creator>ddtt</dc:creator>
  <cp:keywords/>
  <dc:description/>
  <cp:lastModifiedBy>test l</cp:lastModifiedBy>
  <cp:revision>2</cp:revision>
  <dcterms:created xsi:type="dcterms:W3CDTF">2020-08-14T07:18:00Z</dcterms:created>
  <dcterms:modified xsi:type="dcterms:W3CDTF">2020-08-14T07:18:00Z</dcterms:modified>
</cp:coreProperties>
</file>